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7EEF" w14:textId="77777777" w:rsidR="00F97E7A" w:rsidRPr="00161CB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7"/>
        <w:jc w:val="both"/>
        <w:rPr>
          <w:rFonts w:eastAsia="Times New Roman" w:cs="Times New Roman"/>
          <w:color w:val="000000"/>
          <w:sz w:val="18"/>
          <w:szCs w:val="18"/>
        </w:rPr>
      </w:pPr>
      <w:r w:rsidRPr="00161CB3">
        <w:rPr>
          <w:rFonts w:eastAsia="Gungsuh" w:cs="Gungsuh"/>
          <w:color w:val="000000"/>
          <w:sz w:val="18"/>
          <w:szCs w:val="18"/>
        </w:rPr>
        <w:t>＜</w:t>
      </w:r>
      <w:r w:rsidRPr="00161CB3">
        <w:rPr>
          <w:rFonts w:eastAsia="Gungsuh" w:cs="Gungsuh"/>
          <w:color w:val="000000"/>
          <w:sz w:val="18"/>
          <w:szCs w:val="18"/>
        </w:rPr>
        <w:t>Research Paper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>Case Study paper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>Research Note</w:t>
      </w:r>
      <w:r w:rsidRPr="00161CB3">
        <w:rPr>
          <w:rFonts w:eastAsia="Gungsuh" w:cs="Gungsuh"/>
          <w:color w:val="000000"/>
          <w:sz w:val="18"/>
          <w:szCs w:val="18"/>
        </w:rPr>
        <w:t>＞</w:t>
      </w:r>
      <w:bookmarkStart w:id="0" w:name="_GoBack"/>
      <w:bookmarkEnd w:id="0"/>
    </w:p>
    <w:p w14:paraId="665A3BE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Template for Journal of Research into IB Education</w:t>
      </w:r>
    </w:p>
    <w:p w14:paraId="2EB9567A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7515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5353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Taro Kokusai</w:t>
      </w:r>
      <w:r>
        <w:rPr>
          <w:color w:val="000000"/>
          <w:sz w:val="24"/>
          <w:szCs w:val="24"/>
        </w:rPr>
        <w:t>・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</w:p>
    <w:p w14:paraId="4037B02C" w14:textId="40D08A3E" w:rsidR="00F97E7A" w:rsidRDefault="00506EFC" w:rsidP="006F1CFB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</w:t>
      </w:r>
      <w:r>
        <w:rPr>
          <w:color w:val="000000"/>
          <w:sz w:val="18"/>
          <w:szCs w:val="18"/>
        </w:rPr>
        <w:t>□□university</w:t>
      </w:r>
      <w:r>
        <w:rPr>
          <w:color w:val="000000"/>
          <w:sz w:val="18"/>
          <w:szCs w:val="18"/>
        </w:rPr>
        <w:t>）</w:t>
      </w:r>
      <w:r w:rsidR="006F1CFB">
        <w:rPr>
          <w:rFonts w:hint="eastAsia"/>
          <w:color w:val="000000"/>
          <w:sz w:val="18"/>
          <w:szCs w:val="18"/>
        </w:rPr>
        <w:t>(</w:t>
      </w:r>
      <w:r w:rsidR="006F1CFB">
        <w:rPr>
          <w:color w:val="000000"/>
          <w:sz w:val="18"/>
          <w:szCs w:val="18"/>
        </w:rPr>
        <w:t>□□</w:t>
      </w:r>
      <w:r w:rsidR="006F1CFB">
        <w:rPr>
          <w:color w:val="000000"/>
          <w:sz w:val="18"/>
          <w:szCs w:val="18"/>
        </w:rPr>
        <w:t>graduate school)</w:t>
      </w:r>
    </w:p>
    <w:p w14:paraId="336E6BB7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E271C41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F97E7A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14:paraId="2D73BC1C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〔</w:t>
      </w:r>
      <w:r>
        <w:rPr>
          <w:color w:val="000000"/>
        </w:rPr>
        <w:t>Keywords</w:t>
      </w:r>
      <w:r>
        <w:rPr>
          <w:color w:val="000000"/>
        </w:rPr>
        <w:t>：</w:t>
      </w:r>
      <w:r>
        <w:rPr>
          <w:color w:val="000000"/>
        </w:rPr>
        <w:t>International Education</w:t>
      </w:r>
      <w:r>
        <w:rPr>
          <w:color w:val="000000"/>
        </w:rPr>
        <w:t>，</w:t>
      </w:r>
      <w:r>
        <w:rPr>
          <w:color w:val="000000"/>
        </w:rPr>
        <w:t>International Baccalaureate, Globalization</w:t>
      </w:r>
      <w:r>
        <w:rPr>
          <w:color w:val="000000"/>
        </w:rPr>
        <w:t>，</w:t>
      </w:r>
      <w:r>
        <w:rPr>
          <w:color w:val="000000"/>
        </w:rPr>
        <w:t>Assessment</w:t>
      </w:r>
      <w:r>
        <w:rPr>
          <w:color w:val="000000"/>
        </w:rPr>
        <w:t>，</w:t>
      </w:r>
      <w:r>
        <w:rPr>
          <w:color w:val="000000"/>
        </w:rPr>
        <w:t>Curriculum</w:t>
      </w:r>
      <w:r>
        <w:rPr>
          <w:color w:val="000000"/>
        </w:rPr>
        <w:t>〕</w:t>
      </w:r>
    </w:p>
    <w:p w14:paraId="4C04577C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D9D1DAA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cs="ＭＳ ゴシック"/>
          <w:color w:val="000000"/>
        </w:rPr>
        <w:t>1．Title Page</w:t>
      </w:r>
    </w:p>
    <w:p w14:paraId="6F87F8FE" w14:textId="77777777" w:rsidR="00F97E7A" w:rsidRPr="00161CB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  <w:sz w:val="18"/>
          <w:szCs w:val="18"/>
        </w:rPr>
        <w:t xml:space="preserve">  </w:t>
      </w:r>
      <w:r w:rsidRPr="00161CB3">
        <w:rPr>
          <w:color w:val="000000"/>
        </w:rPr>
        <w:t xml:space="preserve">  Title Page consists of two parts.</w:t>
      </w:r>
    </w:p>
    <w:p w14:paraId="4E681A3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(1) Title Part</w:t>
      </w:r>
    </w:p>
    <w:p w14:paraId="0AC37AA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</w:t>
      </w:r>
      <w:r>
        <w:rPr>
          <w:color w:val="000000"/>
        </w:rPr>
        <w:t xml:space="preserve"> Title part is single column (title, author, affiliation)</w:t>
      </w:r>
      <w:r>
        <w:rPr>
          <w:color w:val="000000"/>
        </w:rPr>
        <w:t>．</w:t>
      </w:r>
    </w:p>
    <w:p w14:paraId="0844AF50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Body Part</w:t>
      </w:r>
    </w:p>
    <w:p w14:paraId="4E063959" w14:textId="0382DE5D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</w:t>
      </w:r>
      <w:r>
        <w:rPr>
          <w:color w:val="000000"/>
        </w:rPr>
        <w:t xml:space="preserve"> Body part is double column with 5 keywords at the beginning. See above example.</w:t>
      </w:r>
    </w:p>
    <w:p w14:paraId="5FD2E86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Font is the Century. Character size is 10.</w:t>
      </w:r>
    </w:p>
    <w:p w14:paraId="392A3519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43C1B9" w14:textId="77777777" w:rsidR="00F97E7A" w:rsidRPr="00161CB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Arial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2</w:t>
      </w:r>
      <w:r w:rsidRPr="00161CB3">
        <w:rPr>
          <w:rFonts w:asciiTheme="majorEastAsia" w:eastAsiaTheme="majorEastAsia" w:hAnsiTheme="majorEastAsia" w:cs="Arial Unicode MS"/>
          <w:color w:val="000000"/>
        </w:rPr>
        <w:t xml:space="preserve">．Font of Heading </w:t>
      </w:r>
    </w:p>
    <w:p w14:paraId="796B8E2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color w:val="000000"/>
        </w:rPr>
        <w:t xml:space="preserve">Headings can be either chapters, sections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sub-sections. All headings use Gothic font.</w:t>
      </w:r>
    </w:p>
    <w:p w14:paraId="2E3A487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(1) Heading of Chapters</w:t>
      </w:r>
    </w:p>
    <w:p w14:paraId="0CFBABDF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Headings of the chapters are left-justified other than References. Headings of the chapters other than Introduction and Conclusion shall be numbered in Arabic numerals.</w:t>
      </w:r>
    </w:p>
    <w:p w14:paraId="2DFD2FE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Heading of Sections and Sub-sections</w:t>
      </w:r>
    </w:p>
    <w:p w14:paraId="65246D7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Headings of Sections and Sub-sections shall be numbered in Arabic numerals and brackets.</w:t>
      </w:r>
    </w:p>
    <w:p w14:paraId="41893ECF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3B6257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3．Notes, References and Acknowledgements</w:t>
      </w:r>
    </w:p>
    <w:p w14:paraId="063886F7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color w:val="000000"/>
        </w:rPr>
        <w:t xml:space="preserve">Notes, References and Acknowledgements come after the body. </w:t>
      </w:r>
    </w:p>
    <w:p w14:paraId="419E5FA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References in the body are indicated by placing author name, publication year in parentheses for example, "... (</w:t>
      </w:r>
      <w:proofErr w:type="spellStart"/>
      <w:r>
        <w:rPr>
          <w:color w:val="000000"/>
        </w:rPr>
        <w:t>Eriguchi</w:t>
      </w:r>
      <w:proofErr w:type="spellEnd"/>
      <w:r>
        <w:rPr>
          <w:color w:val="000000"/>
        </w:rPr>
        <w:t>, 2014; Fukuda, 2015)", "</w:t>
      </w:r>
      <w:proofErr w:type="spellStart"/>
      <w:r>
        <w:rPr>
          <w:color w:val="000000"/>
        </w:rPr>
        <w:t>Sagara</w:t>
      </w:r>
      <w:proofErr w:type="spellEnd"/>
      <w:r>
        <w:rPr>
          <w:color w:val="000000"/>
        </w:rPr>
        <w:t xml:space="preserve">, </w:t>
      </w:r>
      <w:r>
        <w:rPr>
          <w:rFonts w:ascii="ＭＳ 明朝" w:eastAsia="ＭＳ 明朝" w:hAnsi="ＭＳ 明朝" w:cs="ＭＳ 明朝"/>
          <w:color w:val="000000"/>
        </w:rPr>
        <w:t>I</w:t>
      </w:r>
      <w:r>
        <w:rPr>
          <w:color w:val="000000"/>
        </w:rPr>
        <w:t>wasaki (2007) ...",</w:t>
      </w:r>
      <w:r>
        <w:t xml:space="preserve"> "(</w:t>
      </w:r>
      <w:proofErr w:type="spellStart"/>
      <w:r>
        <w:t>Eriguchi</w:t>
      </w:r>
      <w:proofErr w:type="spellEnd"/>
      <w:r>
        <w:t xml:space="preserve"> </w:t>
      </w:r>
      <w:r>
        <w:rPr>
          <w:i/>
        </w:rPr>
        <w:t>et al</w:t>
      </w:r>
      <w:r>
        <w:t>.,2016)"</w:t>
      </w:r>
      <w:r>
        <w:rPr>
          <w:color w:val="000000"/>
        </w:rPr>
        <w:t xml:space="preserve">. </w:t>
      </w:r>
    </w:p>
    <w:p w14:paraId="73C8BD7E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(1) Notes</w:t>
      </w:r>
    </w:p>
    <w:p w14:paraId="771A8893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Keep footnotes to a minimum.</w:t>
      </w:r>
    </w:p>
    <w:p w14:paraId="4FF66EB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(2) References</w:t>
      </w:r>
    </w:p>
    <w:p w14:paraId="3C01E09C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  <w:r>
        <w:rPr>
          <w:color w:val="000000"/>
        </w:rPr>
        <w:t>List References is in alphabetical order of the author's name. Do not number. For reference system, please see the References of this template.</w:t>
      </w:r>
    </w:p>
    <w:p w14:paraId="2F1285C2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(3) Acknowledgements</w:t>
      </w:r>
    </w:p>
    <w:p w14:paraId="74A22915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    </w:t>
      </w:r>
      <w:r>
        <w:rPr>
          <w:color w:val="000000"/>
        </w:rPr>
        <w:t>Acknowledgments are listed at the end of the paper. However, acknowledgments are not attached at submission. Please insert after the decision of acceptance.</w:t>
      </w:r>
      <w:r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0C0F0105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ascii="Times New Roman" w:eastAsia="Times New Roman" w:hAnsi="Times New Roman" w:cs="Times New Roman"/>
          <w:color w:val="000000"/>
        </w:rPr>
      </w:pPr>
    </w:p>
    <w:p w14:paraId="36A6CFFE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4．Figures and tables </w:t>
      </w:r>
    </w:p>
    <w:p w14:paraId="38861F70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Charts shall be placed on the same page as the text to quote them first. Show insert location of them in the body. But group together at the end </w:t>
      </w:r>
      <w:r>
        <w:rPr>
          <w:color w:val="000000"/>
        </w:rPr>
        <w:t>of the paper.</w:t>
      </w:r>
    </w:p>
    <w:p w14:paraId="0C70CF3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The width of the figures and tables shall be in single-column or double-column.</w:t>
      </w:r>
    </w:p>
    <w:p w14:paraId="5EC9A441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The figures and tables shall be added the serial number. Titles of figures shall be at the bottom and titles of tables shall be at the top.</w:t>
      </w:r>
    </w:p>
    <w:p w14:paraId="78AF2B73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Please provide a space of one line Between the main text and figures or </w:t>
      </w:r>
      <w:r>
        <w:t>tables</w:t>
      </w:r>
      <w:r>
        <w:rPr>
          <w:color w:val="000000"/>
        </w:rPr>
        <w:t xml:space="preserve"> to clarify the distinction.</w:t>
      </w:r>
    </w:p>
    <w:p w14:paraId="7322D2CF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ascii="Times New Roman" w:eastAsia="Times New Roman" w:hAnsi="Times New Roman" w:cs="Times New Roman"/>
          <w:color w:val="000000"/>
        </w:rPr>
      </w:pPr>
    </w:p>
    <w:p w14:paraId="19FE4F1B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5．Description</w:t>
      </w:r>
    </w:p>
    <w:p w14:paraId="4C2D74AE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color w:val="000000"/>
        </w:rPr>
        <w:t xml:space="preserve"> Please use Arabic numerals.</w:t>
      </w:r>
    </w:p>
    <w:p w14:paraId="06E2280F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Abbreviations could be used only if it’s commonly used.</w:t>
      </w:r>
    </w:p>
    <w:p w14:paraId="2D2769B1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C0E8583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center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References</w:t>
      </w:r>
    </w:p>
    <w:p w14:paraId="3424E71B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Examples</w:t>
      </w:r>
      <w:r>
        <w:rPr>
          <w:color w:val="000000"/>
        </w:rPr>
        <w:t>）</w:t>
      </w:r>
    </w:p>
    <w:p w14:paraId="06C2BB9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book</w:t>
      </w:r>
      <w:r>
        <w:rPr>
          <w:color w:val="000000"/>
        </w:rPr>
        <w:t>＞</w:t>
      </w:r>
    </w:p>
    <w:p w14:paraId="77A38650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Barkley, E. F. (2010). </w:t>
      </w:r>
      <w:r>
        <w:rPr>
          <w:i/>
          <w:color w:val="000000"/>
        </w:rPr>
        <w:t>Student engagement techniques: A handbook for college professors</w:t>
      </w:r>
      <w:r>
        <w:rPr>
          <w:color w:val="000000"/>
        </w:rPr>
        <w:t>. San Francisco, CA: Jossey-Bass.</w:t>
      </w:r>
    </w:p>
    <w:p w14:paraId="5764B1EF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0AF5DD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a specific chapter of the book</w:t>
      </w:r>
      <w:r>
        <w:rPr>
          <w:color w:val="000000"/>
        </w:rPr>
        <w:t>＞</w:t>
      </w:r>
    </w:p>
    <w:p w14:paraId="3887098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Entwistle, N., McCune, V., &amp; Walker, P. (2010). Conceptions, styles, and approaches within higher education: Analytic abstractions and everyday experience. In R. J. Sternberg, &amp; L. F. Zhang (Eds.), </w:t>
      </w:r>
      <w:r>
        <w:rPr>
          <w:i/>
          <w:color w:val="000000"/>
        </w:rPr>
        <w:t>Perspectives on thinking, learning, and cognitive styles</w:t>
      </w:r>
      <w:r>
        <w:rPr>
          <w:color w:val="000000"/>
        </w:rPr>
        <w:t xml:space="preserve"> (pp.103-136). New York: Routledge.</w:t>
      </w:r>
    </w:p>
    <w:p w14:paraId="2F8595FA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D75D0E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journal articles</w:t>
      </w:r>
      <w:r>
        <w:rPr>
          <w:color w:val="000000"/>
        </w:rPr>
        <w:t>＞</w:t>
      </w:r>
    </w:p>
    <w:p w14:paraId="0B19B5A2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Barr, R. B., &amp; </w:t>
      </w:r>
      <w:proofErr w:type="spellStart"/>
      <w:r>
        <w:rPr>
          <w:color w:val="000000"/>
        </w:rPr>
        <w:t>Tagg</w:t>
      </w:r>
      <w:proofErr w:type="spellEnd"/>
      <w:r>
        <w:rPr>
          <w:color w:val="000000"/>
        </w:rPr>
        <w:t xml:space="preserve">, J. (1995). From teaching to learning: A new paradigm for undergraduate education. </w:t>
      </w:r>
      <w:r>
        <w:rPr>
          <w:i/>
          <w:color w:val="000000"/>
        </w:rPr>
        <w:t>Change</w:t>
      </w:r>
      <w:r>
        <w:rPr>
          <w:color w:val="000000"/>
        </w:rPr>
        <w:t xml:space="preserve">, </w:t>
      </w:r>
      <w:r>
        <w:rPr>
          <w:i/>
          <w:color w:val="000000"/>
        </w:rPr>
        <w:t>27(</w:t>
      </w:r>
      <w:r>
        <w:rPr>
          <w:color w:val="000000"/>
        </w:rPr>
        <w:t>6), 12-25.</w:t>
      </w:r>
    </w:p>
    <w:sectPr w:rsidR="00F97E7A">
      <w:type w:val="continuous"/>
      <w:pgSz w:w="11906" w:h="16838"/>
      <w:pgMar w:top="1077" w:right="1134" w:bottom="1361" w:left="1134" w:header="851" w:footer="1021" w:gutter="0"/>
      <w:cols w:num="2" w:space="720" w:equalWidth="0">
        <w:col w:w="4648" w:space="340"/>
        <w:col w:w="464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9857" w14:textId="77777777" w:rsidR="00265A49" w:rsidRDefault="00265A49">
      <w:r>
        <w:separator/>
      </w:r>
    </w:p>
  </w:endnote>
  <w:endnote w:type="continuationSeparator" w:id="0">
    <w:p w14:paraId="640355C1" w14:textId="77777777" w:rsidR="00265A49" w:rsidRDefault="002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79E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581CE87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EDD6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82955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2A0100C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6F6B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</w:t>
    </w:r>
  </w:p>
  <w:p w14:paraId="449502D5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( 16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CF79" w14:textId="77777777" w:rsidR="00265A49" w:rsidRDefault="00265A49">
      <w:r>
        <w:separator/>
      </w:r>
    </w:p>
  </w:footnote>
  <w:footnote w:type="continuationSeparator" w:id="0">
    <w:p w14:paraId="33E5EB4D" w14:textId="77777777" w:rsidR="00265A49" w:rsidRDefault="0026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7022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14:paraId="424CA9AF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E7A"/>
    <w:rsid w:val="00161CB3"/>
    <w:rsid w:val="00265A49"/>
    <w:rsid w:val="0036712C"/>
    <w:rsid w:val="00506EFC"/>
    <w:rsid w:val="005E006B"/>
    <w:rsid w:val="006F1CFB"/>
    <w:rsid w:val="009A1BA7"/>
    <w:rsid w:val="00F82955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232B"/>
  <w15:docId w15:val="{C8E50012-D092-43ED-9D3F-C7BF1CD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若槻郁</cp:lastModifiedBy>
  <cp:revision>5</cp:revision>
  <dcterms:created xsi:type="dcterms:W3CDTF">2018-10-17T14:33:00Z</dcterms:created>
  <dcterms:modified xsi:type="dcterms:W3CDTF">2020-04-13T10:15:00Z</dcterms:modified>
</cp:coreProperties>
</file>