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E1" w:rsidRDefault="00495129">
      <w:pPr>
        <w:widowControl w:val="0"/>
        <w:pBdr>
          <w:top w:val="nil"/>
          <w:left w:val="nil"/>
          <w:bottom w:val="nil"/>
          <w:right w:val="nil"/>
          <w:between w:val="nil"/>
        </w:pBdr>
        <w:ind w:left="567" w:right="567"/>
        <w:jc w:val="both"/>
        <w:rPr>
          <w:rFonts w:ascii="Times New Roman" w:eastAsia="Times New Roman" w:hAnsi="Times New Roman" w:cs="Times New Roman"/>
          <w:color w:val="000000"/>
          <w:sz w:val="18"/>
          <w:szCs w:val="18"/>
        </w:rPr>
      </w:pPr>
      <w:bookmarkStart w:id="0" w:name="_GoBack"/>
      <w:bookmarkEnd w:id="0"/>
      <w:r>
        <w:rPr>
          <w:rFonts w:ascii="Gungsuh" w:eastAsia="Gungsuh" w:hAnsi="Gungsuh" w:cs="Gungsuh"/>
          <w:color w:val="000000"/>
          <w:sz w:val="18"/>
          <w:szCs w:val="18"/>
        </w:rPr>
        <w:t>＜研究論文／事例研究論文／研究ノート＞</w:t>
      </w:r>
    </w:p>
    <w:p w:rsidR="00D257E1" w:rsidRDefault="00495129">
      <w:pPr>
        <w:widowControl w:val="0"/>
        <w:pBdr>
          <w:top w:val="nil"/>
          <w:left w:val="nil"/>
          <w:bottom w:val="nil"/>
          <w:right w:val="nil"/>
          <w:between w:val="nil"/>
        </w:pBdr>
        <w:ind w:left="567" w:right="566"/>
        <w:jc w:val="center"/>
        <w:rPr>
          <w:rFonts w:ascii="ＭＳ 明朝" w:eastAsia="ＭＳ 明朝" w:hAnsi="ＭＳ 明朝" w:cs="ＭＳ 明朝"/>
          <w:color w:val="000000"/>
          <w:sz w:val="32"/>
          <w:szCs w:val="32"/>
        </w:rPr>
      </w:pPr>
      <w:r>
        <w:rPr>
          <w:rFonts w:ascii="ＭＳ 明朝" w:eastAsia="ＭＳ 明朝" w:hAnsi="ＭＳ 明朝" w:cs="ＭＳ 明朝"/>
          <w:sz w:val="32"/>
          <w:szCs w:val="32"/>
        </w:rPr>
        <w:t>「</w:t>
      </w:r>
      <w:r>
        <w:rPr>
          <w:rFonts w:ascii="ＭＳ 明朝" w:eastAsia="ＭＳ 明朝" w:hAnsi="ＭＳ 明朝" w:cs="ＭＳ 明朝"/>
          <w:color w:val="000000"/>
          <w:sz w:val="32"/>
          <w:szCs w:val="32"/>
        </w:rPr>
        <w:t>日本国際バカロレア</w:t>
      </w:r>
      <w:r>
        <w:rPr>
          <w:rFonts w:ascii="ＭＳ 明朝" w:eastAsia="ＭＳ 明朝" w:hAnsi="ＭＳ 明朝" w:cs="ＭＳ 明朝"/>
          <w:sz w:val="32"/>
          <w:szCs w:val="32"/>
        </w:rPr>
        <w:t>教育</w:t>
      </w:r>
      <w:r>
        <w:rPr>
          <w:rFonts w:ascii="ＭＳ 明朝" w:eastAsia="ＭＳ 明朝" w:hAnsi="ＭＳ 明朝" w:cs="ＭＳ 明朝"/>
          <w:color w:val="000000"/>
          <w:sz w:val="32"/>
          <w:szCs w:val="32"/>
        </w:rPr>
        <w:t>研究</w:t>
      </w:r>
      <w:r>
        <w:rPr>
          <w:rFonts w:ascii="ＭＳ 明朝" w:eastAsia="ＭＳ 明朝" w:hAnsi="ＭＳ 明朝" w:cs="ＭＳ 明朝"/>
          <w:sz w:val="32"/>
          <w:szCs w:val="32"/>
        </w:rPr>
        <w:t>」執筆要領</w:t>
      </w:r>
    </w:p>
    <w:p w:rsidR="00D257E1" w:rsidRDefault="00D257E1">
      <w:pPr>
        <w:widowControl w:val="0"/>
        <w:pBdr>
          <w:top w:val="nil"/>
          <w:left w:val="nil"/>
          <w:bottom w:val="nil"/>
          <w:right w:val="nil"/>
          <w:between w:val="nil"/>
        </w:pBdr>
        <w:ind w:left="567" w:right="566"/>
        <w:jc w:val="both"/>
        <w:rPr>
          <w:rFonts w:ascii="Times New Roman" w:eastAsia="Times New Roman" w:hAnsi="Times New Roman" w:cs="Times New Roman"/>
          <w:color w:val="000000"/>
          <w:sz w:val="24"/>
          <w:szCs w:val="24"/>
        </w:rPr>
      </w:pPr>
    </w:p>
    <w:p w:rsidR="00D257E1" w:rsidRDefault="00495129">
      <w:pPr>
        <w:widowControl w:val="0"/>
        <w:pBdr>
          <w:top w:val="nil"/>
          <w:left w:val="nil"/>
          <w:bottom w:val="nil"/>
          <w:right w:val="nil"/>
          <w:between w:val="nil"/>
        </w:pBdr>
        <w:ind w:left="546" w:right="566" w:firstLine="5353"/>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国際　太郎・△△　△△</w:t>
      </w:r>
    </w:p>
    <w:p w:rsidR="00D257E1" w:rsidRDefault="00495129">
      <w:pPr>
        <w:widowControl w:val="0"/>
        <w:pBdr>
          <w:top w:val="nil"/>
          <w:left w:val="nil"/>
          <w:bottom w:val="nil"/>
          <w:right w:val="nil"/>
          <w:between w:val="nil"/>
        </w:pBdr>
        <w:ind w:left="546" w:right="566" w:firstLine="6047"/>
        <w:jc w:val="both"/>
        <w:rPr>
          <w:color w:val="000000"/>
          <w:sz w:val="18"/>
          <w:szCs w:val="18"/>
        </w:rPr>
      </w:pPr>
      <w:r>
        <w:rPr>
          <w:rFonts w:ascii="Gungsuh" w:eastAsia="Gungsuh" w:hAnsi="Gungsuh" w:cs="Gungsuh"/>
          <w:color w:val="000000"/>
          <w:sz w:val="18"/>
          <w:szCs w:val="18"/>
        </w:rPr>
        <w:t>（□□大学）</w:t>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sectPr w:rsidR="00D257E1">
          <w:footerReference w:type="even" r:id="rId6"/>
          <w:footerReference w:type="default" r:id="rId7"/>
          <w:headerReference w:type="first" r:id="rId8"/>
          <w:footerReference w:type="first" r:id="rId9"/>
          <w:pgSz w:w="11906" w:h="16838"/>
          <w:pgMar w:top="1077" w:right="1134" w:bottom="1361" w:left="1134" w:header="851" w:footer="1021" w:gutter="0"/>
          <w:pgNumType w:start="1"/>
          <w:cols w:space="720"/>
        </w:sectPr>
      </w:pP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明朝" w:eastAsia="ＭＳ 明朝" w:hAnsi="ＭＳ 明朝" w:cs="ＭＳ 明朝"/>
          <w:color w:val="000000"/>
        </w:rPr>
        <w:t>〔</w:t>
      </w:r>
      <w:r>
        <w:rPr>
          <w:rFonts w:ascii="Arial Unicode MS" w:eastAsia="Arial Unicode MS" w:hAnsi="Arial Unicode MS" w:cs="Arial Unicode MS"/>
          <w:color w:val="000000"/>
        </w:rPr>
        <w:t>キーワード</w:t>
      </w:r>
      <w:r>
        <w:rPr>
          <w:rFonts w:ascii="ＭＳ 明朝" w:eastAsia="ＭＳ 明朝" w:hAnsi="ＭＳ 明朝" w:cs="ＭＳ 明朝"/>
          <w:color w:val="000000"/>
        </w:rPr>
        <w:t>：国際理解教育、国際バカロレア、授業研究、指導方法、発問方法〕</w:t>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rPr>
        <w:t>1．タイトルページ</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タイトルページは2つの部分で構成されます。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 タイトル部分</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タイトル部分は、横1段組（題目、著者、所属、著者）としてください。</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 本文部分</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本文部分から横2段組になりますが、冒頭にキーワード5～7語をつけます。上記例参照。</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フォントは、日本語はMS明朝、英数字はCentury（半角）を使用します。文字サイズは、10ポイントを使用します。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本誌は、タイトル、英文抄録部分を除き、本文部分から2段組とします。</w:t>
      </w:r>
    </w:p>
    <w:p w:rsidR="00D257E1" w:rsidRDefault="00D257E1">
      <w:pPr>
        <w:widowControl w:val="0"/>
        <w:pBdr>
          <w:top w:val="nil"/>
          <w:left w:val="nil"/>
          <w:bottom w:val="nil"/>
          <w:right w:val="nil"/>
          <w:between w:val="nil"/>
        </w:pBdr>
        <w:jc w:val="both"/>
        <w:rPr>
          <w:rFonts w:ascii="Arial" w:eastAsia="Arial" w:hAnsi="Arial" w:cs="Arial"/>
          <w:color w:val="000000"/>
        </w:rPr>
      </w:pP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sz w:val="18"/>
          <w:szCs w:val="18"/>
        </w:rPr>
      </w:pPr>
      <w:r>
        <w:rPr>
          <w:rFonts w:ascii="ＭＳ ゴシック" w:eastAsia="ＭＳ ゴシック" w:hAnsi="ＭＳ ゴシック" w:cs="ＭＳ ゴシック"/>
          <w:color w:val="000000"/>
        </w:rPr>
        <w:t>2</w:t>
      </w:r>
      <w:r>
        <w:rPr>
          <w:rFonts w:ascii="Arial Unicode MS" w:eastAsia="Arial Unicode MS" w:hAnsi="Arial Unicode MS" w:cs="Arial Unicode MS"/>
          <w:color w:val="000000"/>
        </w:rPr>
        <w:t>．見出しの書式</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見出しは、章、節、項の3段階までとします。見出しはすべてゴシック体を用います。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 章の見出し</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章の見出しは、「文献」のみセンタリング、他はすべて左寄せとします。「はじめに」と「おわりに」以外の見出しには、アラビア数字（半角）で番号を付けます。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 節の見出し</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節の見出しには、半角の両括弧にアラビア数字（半角）で番号を付けます。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 項の見出し</w:t>
      </w: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Gungsuh" w:eastAsia="Gungsuh" w:hAnsi="Gungsuh" w:cs="Gungsuh"/>
          <w:color w:val="000000"/>
        </w:rPr>
        <w:t xml:space="preserve">　</w:t>
      </w:r>
      <w:r>
        <w:rPr>
          <w:rFonts w:eastAsia="Century"/>
          <w:color w:val="000000"/>
        </w:rPr>
        <w:t>できるだけ見出しは、章と節の2段階にしますが、必要な場合は、項の見出しとして</w:t>
      </w:r>
      <w:r>
        <w:rPr>
          <w:rFonts w:ascii="Gungsuh" w:eastAsia="Gungsuh" w:hAnsi="Gungsuh" w:cs="Gungsuh"/>
          <w:color w:val="000000"/>
        </w:rPr>
        <w:t>、</w:t>
      </w:r>
      <w:r>
        <w:rPr>
          <w:rFonts w:ascii="ＭＳ ゴシック" w:eastAsia="ＭＳ ゴシック" w:hAnsi="ＭＳ ゴシック" w:cs="ＭＳ ゴシック"/>
          <w:color w:val="000000"/>
        </w:rPr>
        <w:t>1)</w:t>
      </w:r>
      <w:r>
        <w:rPr>
          <w:rFonts w:ascii="Gungsuh" w:eastAsia="Gungsuh" w:hAnsi="Gungsuh" w:cs="Gungsuh"/>
          <w:color w:val="000000"/>
        </w:rPr>
        <w:t>など半括弧にアラビア数字（半角）で番号を付けます。</w:t>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ゴシック" w:eastAsia="ＭＳ ゴシック" w:hAnsi="ＭＳ ゴシック" w:cs="ＭＳ ゴシック"/>
          <w:color w:val="000000"/>
        </w:rPr>
        <w:t>3．注、文献および謝辞</w:t>
      </w:r>
    </w:p>
    <w:p w:rsidR="00D257E1" w:rsidRDefault="00495129">
      <w:pPr>
        <w:widowControl w:val="0"/>
        <w:pBdr>
          <w:top w:val="nil"/>
          <w:left w:val="nil"/>
          <w:bottom w:val="nil"/>
          <w:right w:val="nil"/>
          <w:between w:val="nil"/>
        </w:pBdr>
        <w:jc w:val="both"/>
        <w:rPr>
          <w:color w:val="000000"/>
        </w:rPr>
      </w:pPr>
      <w:r>
        <w:rPr>
          <w:rFonts w:ascii="Gungsuh" w:eastAsia="Gungsuh" w:hAnsi="Gungsuh" w:cs="Gungsuh"/>
          <w:color w:val="000000"/>
        </w:rPr>
        <w:t xml:space="preserve">　</w:t>
      </w:r>
      <w:r>
        <w:rPr>
          <w:rFonts w:eastAsia="Century"/>
          <w:color w:val="000000"/>
        </w:rPr>
        <w:t>注、文献および謝辞は、本文の後に一括します。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本文中での文献の指示は、著者名・刊行年次を小括弧に入れて示します。たとえば、「</w:t>
      </w:r>
      <w:r>
        <w:rPr>
          <w:rFonts w:ascii="ＭＳ 明朝" w:eastAsia="ＭＳ 明朝" w:hAnsi="ＭＳ 明朝" w:cs="ＭＳ 明朝"/>
          <w:color w:val="000000"/>
        </w:rPr>
        <w:t>…</w:t>
      </w:r>
      <w:r>
        <w:rPr>
          <w:rFonts w:eastAsia="Century"/>
          <w:color w:val="000000"/>
        </w:rPr>
        <w:t>（江里口 2014；福田 2015）」，「相良・岩崎（2007）は…」</w:t>
      </w:r>
      <w:r>
        <w:t>のように表記します。</w:t>
      </w:r>
      <w:r>
        <w:rPr>
          <w:rFonts w:eastAsia="Century"/>
          <w:color w:val="000000"/>
        </w:rPr>
        <w:t>外国人名は原語で表記します。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 注</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注は必要最小限にとどめるものとしますが、注を付す場合、本文の該当箇所に上付きで番号を付け、文献の前にまとめて記載します。</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 文献</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文献は著者名のアルファベット順とし、番号は付けません。記載方法は、本テンプレートの「文献」の箇所を参照してください。</w:t>
      </w: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 謝辞</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謝辞は論文の最後に記載します。ただし、投稿時には謝辞は付さず、採録決定後に挿入してください。</w:t>
      </w:r>
    </w:p>
    <w:p w:rsidR="00D257E1" w:rsidRDefault="00D257E1">
      <w:pPr>
        <w:widowControl w:val="0"/>
        <w:pBdr>
          <w:top w:val="nil"/>
          <w:left w:val="nil"/>
          <w:bottom w:val="nil"/>
          <w:right w:val="nil"/>
          <w:between w:val="nil"/>
        </w:pBdr>
        <w:ind w:firstLine="186"/>
        <w:jc w:val="both"/>
        <w:rPr>
          <w:rFonts w:ascii="Times New Roman" w:eastAsia="Times New Roman" w:hAnsi="Times New Roman" w:cs="Times New Roman"/>
          <w:color w:val="000000"/>
        </w:rPr>
      </w:pP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ＭＳ ゴシック" w:eastAsia="ＭＳ ゴシック" w:hAnsi="ＭＳ ゴシック" w:cs="ＭＳ ゴシック"/>
          <w:color w:val="000000"/>
        </w:rPr>
        <w:t>4．図および表</w:t>
      </w:r>
    </w:p>
    <w:p w:rsidR="00D257E1" w:rsidRDefault="00495129">
      <w:pPr>
        <w:widowControl w:val="0"/>
        <w:pBdr>
          <w:top w:val="nil"/>
          <w:left w:val="nil"/>
          <w:bottom w:val="nil"/>
          <w:right w:val="nil"/>
          <w:between w:val="nil"/>
        </w:pBdr>
        <w:jc w:val="both"/>
        <w:rPr>
          <w:color w:val="000000"/>
        </w:rPr>
      </w:pPr>
      <w:r>
        <w:rPr>
          <w:rFonts w:ascii="Gungsuh" w:eastAsia="Gungsuh" w:hAnsi="Gungsuh" w:cs="Gungsuh"/>
          <w:color w:val="000000"/>
        </w:rPr>
        <w:t xml:space="preserve">　</w:t>
      </w:r>
      <w:r>
        <w:rPr>
          <w:rFonts w:eastAsia="Century"/>
          <w:color w:val="000000"/>
        </w:rPr>
        <w:t>図表はそれらを最初に引用する文章と同じページに置くことを原則とします。原稿末尾にまとめたりしてはいけません。本文とは別に鮮明な原稿を作成し、本文中にその挿入箇所を指示しておきます。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図表の幅は、1段または2段のいずれかとし、両脇に余白が生じても文字を入れないようにします。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なお本文中に、図表を縮小表示して挿入してもかまいません。その際にも、図表だけの原稿とファイルは提出してください。</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図および表には、通し番号を付し、表の表題は表の上部に、図の表題は図の下部に記します。なお、図および表が一つの場合にも、図1または表1と記します。図表と文章本体との間には1行の空白を設けて区別を明確にします。</w:t>
      </w:r>
      <w:r>
        <w:t>図および表の下部には、必ず出所を明記してください。「出所：筆者作成」のように表記します。</w:t>
      </w:r>
    </w:p>
    <w:p w:rsidR="00D257E1" w:rsidRDefault="00D257E1">
      <w:pPr>
        <w:widowControl w:val="0"/>
        <w:pBdr>
          <w:top w:val="nil"/>
          <w:left w:val="nil"/>
          <w:bottom w:val="nil"/>
          <w:right w:val="nil"/>
          <w:between w:val="nil"/>
        </w:pBdr>
        <w:ind w:firstLine="186"/>
        <w:jc w:val="both"/>
        <w:rPr>
          <w:rFonts w:ascii="Times New Roman" w:eastAsia="Times New Roman" w:hAnsi="Times New Roman" w:cs="Times New Roman"/>
          <w:color w:val="000000"/>
        </w:rPr>
      </w:pPr>
    </w:p>
    <w:p w:rsidR="00D257E1" w:rsidRDefault="00495129">
      <w:pPr>
        <w:widowControl w:val="0"/>
        <w:pBdr>
          <w:top w:val="nil"/>
          <w:left w:val="nil"/>
          <w:bottom w:val="nil"/>
          <w:right w:val="nil"/>
          <w:between w:val="nil"/>
        </w:pBdr>
        <w:jc w:val="both"/>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5．文章表現</w:t>
      </w:r>
    </w:p>
    <w:p w:rsidR="00D257E1" w:rsidRDefault="00495129">
      <w:pPr>
        <w:widowControl w:val="0"/>
        <w:pBdr>
          <w:top w:val="nil"/>
          <w:left w:val="nil"/>
          <w:bottom w:val="nil"/>
          <w:right w:val="nil"/>
          <w:between w:val="nil"/>
        </w:pBdr>
        <w:jc w:val="both"/>
        <w:rPr>
          <w:color w:val="000000"/>
        </w:rPr>
      </w:pPr>
      <w:r>
        <w:rPr>
          <w:rFonts w:ascii="ＭＳ ゴシック" w:eastAsia="ＭＳ ゴシック" w:hAnsi="ＭＳ ゴシック" w:cs="ＭＳ ゴシック"/>
          <w:color w:val="000000"/>
        </w:rPr>
        <w:t xml:space="preserve">　</w:t>
      </w:r>
      <w:r>
        <w:rPr>
          <w:rFonts w:eastAsia="Century"/>
          <w:color w:val="000000"/>
        </w:rPr>
        <w:t>和文は、常用漢字、現代仮名遣いを用います。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数字は、熟語・成語に含まれるもの以外は、アラビア数字（半角）を用います。</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略語は、一般的に用いられているものに限ります。まぎらわしい略語には、初出の際に原語と日本語の訳語を小括弧で示してください。</w:t>
      </w:r>
    </w:p>
    <w:p w:rsidR="00D257E1" w:rsidRDefault="00495129">
      <w:pPr>
        <w:widowControl w:val="0"/>
        <w:pBdr>
          <w:top w:val="nil"/>
          <w:left w:val="nil"/>
          <w:bottom w:val="nil"/>
          <w:right w:val="nil"/>
          <w:between w:val="nil"/>
        </w:pBdr>
        <w:jc w:val="both"/>
        <w:rPr>
          <w:color w:val="000000"/>
        </w:rPr>
      </w:pPr>
      <w:r>
        <w:rPr>
          <w:rFonts w:eastAsia="Century"/>
          <w:color w:val="000000"/>
        </w:rPr>
        <w:t xml:space="preserve">　外国人名は、通常カタカナ書きとし、初出の際に原語を小括弧で付してください。</w:t>
      </w:r>
    </w:p>
    <w:p w:rsidR="00D257E1" w:rsidRDefault="00D257E1">
      <w:pPr>
        <w:widowControl w:val="0"/>
        <w:pBdr>
          <w:top w:val="nil"/>
          <w:left w:val="nil"/>
          <w:bottom w:val="nil"/>
          <w:right w:val="nil"/>
          <w:between w:val="nil"/>
        </w:pBdr>
        <w:ind w:firstLine="186"/>
        <w:jc w:val="both"/>
        <w:rPr>
          <w:rFonts w:ascii="Times New Roman" w:eastAsia="Times New Roman" w:hAnsi="Times New Roman" w:cs="Times New Roman"/>
          <w:color w:val="000000"/>
        </w:rPr>
      </w:pPr>
    </w:p>
    <w:p w:rsidR="00D257E1" w:rsidRDefault="00495129">
      <w:pPr>
        <w:widowControl w:val="0"/>
        <w:pBdr>
          <w:top w:val="nil"/>
          <w:left w:val="nil"/>
          <w:bottom w:val="nil"/>
          <w:right w:val="nil"/>
          <w:between w:val="nil"/>
        </w:pBdr>
        <w:ind w:firstLine="186"/>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文献</w:t>
      </w: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Gungsuh" w:eastAsia="Gungsuh" w:hAnsi="Gungsuh" w:cs="Gungsuh"/>
          <w:color w:val="000000"/>
        </w:rPr>
        <w:t>（例）</w:t>
      </w:r>
    </w:p>
    <w:p w:rsidR="00D257E1" w:rsidRDefault="00495129">
      <w:pPr>
        <w:widowControl w:val="0"/>
        <w:pBdr>
          <w:top w:val="nil"/>
          <w:left w:val="nil"/>
          <w:bottom w:val="nil"/>
          <w:right w:val="nil"/>
          <w:between w:val="nil"/>
        </w:pBdr>
        <w:jc w:val="both"/>
        <w:rPr>
          <w:rFonts w:ascii="Times New Roman" w:eastAsia="Times New Roman" w:hAnsi="Times New Roman" w:cs="Times New Roman"/>
          <w:color w:val="000000"/>
        </w:rPr>
      </w:pPr>
      <w:r>
        <w:rPr>
          <w:rFonts w:ascii="Gungsuh" w:eastAsia="Gungsuh" w:hAnsi="Gungsuh" w:cs="Gungsuh"/>
          <w:color w:val="000000"/>
        </w:rPr>
        <w:t>＜単行本の場合＞</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福田誠治(2015)『国際バカロレアの大学入試改革——知を創造するアクティブ・ラーニング』亜紀書房.</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（順番に、著者名、発行年、書名(二重カギ括弧)、発行所）</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 xml:space="preserve">Barkley, E. F. (2010). </w:t>
      </w:r>
      <w:r>
        <w:rPr>
          <w:rFonts w:eastAsia="Century"/>
          <w:i/>
          <w:color w:val="000000"/>
        </w:rPr>
        <w:t>Student engagement techniques: A handbook for college professors</w:t>
      </w:r>
      <w:r>
        <w:rPr>
          <w:rFonts w:eastAsia="Century"/>
          <w:color w:val="000000"/>
        </w:rPr>
        <w:t>. San Francisco, CA: Jossey-Bass.</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（順番に、著者名、発行年、書名(イタリック体)、発行所(発行地)）</w:t>
      </w:r>
    </w:p>
    <w:p w:rsidR="00D257E1" w:rsidRDefault="00D257E1">
      <w:pPr>
        <w:widowControl w:val="0"/>
        <w:pBdr>
          <w:top w:val="nil"/>
          <w:left w:val="nil"/>
          <w:bottom w:val="nil"/>
          <w:right w:val="nil"/>
          <w:between w:val="nil"/>
        </w:pBdr>
        <w:jc w:val="both"/>
        <w:rPr>
          <w:color w:val="000000"/>
        </w:rPr>
      </w:pPr>
    </w:p>
    <w:p w:rsidR="00D257E1" w:rsidRDefault="00495129">
      <w:pPr>
        <w:widowControl w:val="0"/>
        <w:pBdr>
          <w:top w:val="nil"/>
          <w:left w:val="nil"/>
          <w:bottom w:val="nil"/>
          <w:right w:val="nil"/>
          <w:between w:val="nil"/>
        </w:pBdr>
        <w:jc w:val="both"/>
        <w:rPr>
          <w:rFonts w:ascii="ＭＳ 明朝" w:eastAsia="ＭＳ 明朝" w:hAnsi="ＭＳ 明朝" w:cs="ＭＳ 明朝"/>
          <w:color w:val="000000"/>
        </w:rPr>
      </w:pPr>
      <w:r>
        <w:rPr>
          <w:rFonts w:ascii="ＭＳ 明朝" w:eastAsia="ＭＳ 明朝" w:hAnsi="ＭＳ 明朝" w:cs="ＭＳ 明朝"/>
          <w:color w:val="000000"/>
        </w:rPr>
        <w:t>＜単行本の特定の章の場合＞</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石村清則 (2007)「日本語A1の実践とキャリア意</w:t>
      </w:r>
      <w:r>
        <w:rPr>
          <w:rFonts w:eastAsia="Century"/>
          <w:color w:val="000000"/>
        </w:rPr>
        <w:lastRenderedPageBreak/>
        <w:t>識」　相良憲昭・岩崎久美子編著『国際バカロレア－世界が認める卓越した教育プログラム』明石書店，pp.166-177.</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（順番に、章の著者名、発行年、章の題目(一重カギ括弧)、収録されている単行本の編者名、書名(二重カギ括弧)、発行所、掲載ページ）</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 xml:space="preserve">Entwistle, N., McCune, V., &amp; Walker, P. (2010). Conceptions, styles, and approaches within higher education: Analytic abstractions and everyday experience. In R. J. Sternberg, &amp; L. F. Zhang (Eds.), </w:t>
      </w:r>
      <w:r>
        <w:rPr>
          <w:rFonts w:eastAsia="Century"/>
          <w:i/>
          <w:color w:val="000000"/>
        </w:rPr>
        <w:t>Perspectives on thinking, learning, and cognitive styles</w:t>
      </w:r>
      <w:r>
        <w:rPr>
          <w:rFonts w:eastAsia="Century"/>
          <w:color w:val="000000"/>
        </w:rPr>
        <w:t xml:space="preserve"> (pp.103-136). New York: Routledge.</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（順番に、章の著者名、発行年、章の題目、収録されている単行本の編者名、書名(イタリック体)、掲載ページ、発行所(発行地)）</w:t>
      </w:r>
    </w:p>
    <w:p w:rsidR="00D257E1" w:rsidRDefault="00D257E1">
      <w:pPr>
        <w:widowControl w:val="0"/>
        <w:pBdr>
          <w:top w:val="nil"/>
          <w:left w:val="nil"/>
          <w:bottom w:val="nil"/>
          <w:right w:val="nil"/>
          <w:between w:val="nil"/>
        </w:pBdr>
        <w:jc w:val="both"/>
        <w:rPr>
          <w:color w:val="000000"/>
        </w:rPr>
      </w:pPr>
    </w:p>
    <w:p w:rsidR="00D257E1" w:rsidRDefault="00495129">
      <w:pPr>
        <w:widowControl w:val="0"/>
        <w:pBdr>
          <w:top w:val="nil"/>
          <w:left w:val="nil"/>
          <w:bottom w:val="nil"/>
          <w:right w:val="nil"/>
          <w:between w:val="nil"/>
        </w:pBdr>
        <w:jc w:val="both"/>
        <w:rPr>
          <w:color w:val="000000"/>
        </w:rPr>
      </w:pPr>
      <w:r>
        <w:rPr>
          <w:rFonts w:eastAsia="Century"/>
          <w:color w:val="000000"/>
        </w:rPr>
        <w:t>＜雑誌論文の場合＞</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花井渉 (2016)「イギリスにおける国際バカロレア認証に伴う資格試験制度に関する研究」『比較教育学研究</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』52，90-112.</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（順番に、著者名、発行年、論文題目(一重カギ括弧)、雑誌名(二重カギ括弧)、巻(号)数、掲載ページ(ppは不要)。なお、複数の和文著者名は「・」でつなぐ）</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 xml:space="preserve">Barr, R. B., &amp; </w:t>
      </w:r>
      <w:proofErr w:type="spellStart"/>
      <w:r>
        <w:rPr>
          <w:rFonts w:eastAsia="Century"/>
          <w:color w:val="000000"/>
        </w:rPr>
        <w:t>Tagg</w:t>
      </w:r>
      <w:proofErr w:type="spellEnd"/>
      <w:r>
        <w:rPr>
          <w:rFonts w:eastAsia="Century"/>
          <w:color w:val="000000"/>
        </w:rPr>
        <w:t xml:space="preserve">, J. (1995). From teaching to learning: A new paradigm for undergraduate education. </w:t>
      </w:r>
      <w:r>
        <w:rPr>
          <w:rFonts w:eastAsia="Century"/>
          <w:i/>
          <w:color w:val="000000"/>
        </w:rPr>
        <w:t>Change</w:t>
      </w:r>
      <w:r>
        <w:rPr>
          <w:rFonts w:eastAsia="Century"/>
          <w:color w:val="000000"/>
        </w:rPr>
        <w:t xml:space="preserve">, </w:t>
      </w:r>
      <w:r>
        <w:rPr>
          <w:rFonts w:eastAsia="Century"/>
          <w:i/>
          <w:color w:val="000000"/>
        </w:rPr>
        <w:t>27(</w:t>
      </w:r>
      <w:r>
        <w:rPr>
          <w:rFonts w:eastAsia="Century"/>
          <w:color w:val="000000"/>
        </w:rPr>
        <w:t>6), 12-25.</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（順番に、著者名、発行年、論文題目、雑誌名(イタリック体)、巻(号)数(巻数はイタリック体)、掲載ページ(ppは不要)）</w:t>
      </w:r>
    </w:p>
    <w:p w:rsidR="00D257E1" w:rsidRDefault="00D257E1">
      <w:pPr>
        <w:widowControl w:val="0"/>
        <w:pBdr>
          <w:top w:val="nil"/>
          <w:left w:val="nil"/>
          <w:bottom w:val="nil"/>
          <w:right w:val="nil"/>
          <w:between w:val="nil"/>
        </w:pBdr>
        <w:jc w:val="both"/>
        <w:rPr>
          <w:color w:val="000000"/>
        </w:rPr>
      </w:pPr>
    </w:p>
    <w:p w:rsidR="00D257E1" w:rsidRDefault="00495129">
      <w:pPr>
        <w:widowControl w:val="0"/>
        <w:pBdr>
          <w:top w:val="nil"/>
          <w:left w:val="nil"/>
          <w:bottom w:val="nil"/>
          <w:right w:val="nil"/>
          <w:between w:val="nil"/>
        </w:pBdr>
        <w:jc w:val="both"/>
        <w:rPr>
          <w:color w:val="000000"/>
        </w:rPr>
      </w:pPr>
      <w:r>
        <w:rPr>
          <w:rFonts w:eastAsia="Century"/>
          <w:color w:val="000000"/>
        </w:rPr>
        <w:t>＜翻訳書の場合＞</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 xml:space="preserve">Wiggins, G., &amp; McTighe, J. (2005). </w:t>
      </w:r>
      <w:r>
        <w:rPr>
          <w:rFonts w:eastAsia="Century"/>
          <w:i/>
          <w:color w:val="000000"/>
        </w:rPr>
        <w:t>Understanding by design (Expanded 2</w:t>
      </w:r>
      <w:r>
        <w:rPr>
          <w:rFonts w:eastAsia="Century"/>
          <w:i/>
          <w:color w:val="000000"/>
          <w:vertAlign w:val="superscript"/>
        </w:rPr>
        <w:t>nd</w:t>
      </w:r>
      <w:r>
        <w:rPr>
          <w:rFonts w:eastAsia="Century"/>
          <w:i/>
          <w:color w:val="000000"/>
        </w:rPr>
        <w:t xml:space="preserve"> ed.)</w:t>
      </w:r>
      <w:r>
        <w:rPr>
          <w:rFonts w:eastAsia="Century"/>
          <w:color w:val="000000"/>
        </w:rPr>
        <w:t>. Alexandria, VA: Association for Supervision and Curriculum Development. G・ウィギンズ，J・マクタイ (西岡加名恵訳) (2012)『理解をもたらすカリキュラム設計－「逆向き設計」の理論と方法－』日本標準.</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（順番に、原著者名、発行年、書名(イタリック体)、発行所(発行地)、原著者名(カナ名)、訳者名、翻訳書発行年、翻訳書名、翻訳書の発行所）</w:t>
      </w:r>
    </w:p>
    <w:p w:rsidR="00D257E1" w:rsidRDefault="00D257E1">
      <w:pPr>
        <w:widowControl w:val="0"/>
        <w:pBdr>
          <w:top w:val="nil"/>
          <w:left w:val="nil"/>
          <w:bottom w:val="nil"/>
          <w:right w:val="nil"/>
          <w:between w:val="nil"/>
        </w:pBdr>
        <w:jc w:val="both"/>
        <w:rPr>
          <w:color w:val="000000"/>
        </w:rPr>
      </w:pPr>
    </w:p>
    <w:p w:rsidR="00D257E1" w:rsidRDefault="00495129">
      <w:pPr>
        <w:widowControl w:val="0"/>
        <w:pBdr>
          <w:top w:val="nil"/>
          <w:left w:val="nil"/>
          <w:bottom w:val="nil"/>
          <w:right w:val="nil"/>
          <w:between w:val="nil"/>
        </w:pBdr>
        <w:jc w:val="both"/>
        <w:rPr>
          <w:color w:val="000000"/>
        </w:rPr>
      </w:pPr>
      <w:r>
        <w:rPr>
          <w:rFonts w:eastAsia="Century"/>
          <w:color w:val="000000"/>
        </w:rPr>
        <w:t>＜インターネットからの引用の場合＞</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中央教育審議会 (2012)『新たな未来を築くための大学教育の質的転換に向けて－生涯学び続け，主体的に考える力を育成する大学へ－(答申)』(http://www.mext.go.jp/b_menu/shingi/chukyo/chukyo0/toushin/1325047.htm) (2016年3月30日)</w:t>
      </w:r>
    </w:p>
    <w:p w:rsidR="00D257E1" w:rsidRDefault="00495129">
      <w:pPr>
        <w:widowControl w:val="0"/>
        <w:pBdr>
          <w:top w:val="nil"/>
          <w:left w:val="nil"/>
          <w:bottom w:val="nil"/>
          <w:right w:val="nil"/>
          <w:between w:val="nil"/>
        </w:pBdr>
        <w:ind w:left="186" w:hanging="186"/>
        <w:jc w:val="both"/>
        <w:rPr>
          <w:color w:val="000000"/>
        </w:rPr>
      </w:pPr>
      <w:r>
        <w:rPr>
          <w:rFonts w:eastAsia="Century"/>
          <w:color w:val="000000"/>
        </w:rPr>
        <w:t>（順番に、著者名、ページのタイトル、URL、引用者の最新アクセス日）</w:t>
      </w:r>
    </w:p>
    <w:p w:rsidR="00D257E1" w:rsidRDefault="00495129">
      <w:pPr>
        <w:widowControl w:val="0"/>
        <w:pBdr>
          <w:top w:val="nil"/>
          <w:left w:val="nil"/>
          <w:bottom w:val="nil"/>
          <w:right w:val="nil"/>
          <w:between w:val="nil"/>
        </w:pBdr>
        <w:ind w:left="186" w:hanging="186"/>
        <w:jc w:val="both"/>
      </w:pPr>
      <w:r>
        <w:t>英語文献の引用方法は</w:t>
      </w:r>
      <w:r>
        <w:t>American</w:t>
      </w:r>
      <w:r>
        <w:t xml:space="preserve">　</w:t>
      </w:r>
      <w:r>
        <w:t>Psychological</w:t>
      </w:r>
      <w:r>
        <w:t xml:space="preserve">　</w:t>
      </w:r>
      <w:r>
        <w:t>Association’s Manual of Styles, 5th Edition</w:t>
      </w:r>
      <w:r>
        <w:t>に準</w:t>
      </w:r>
      <w:r>
        <w:t>拠します。</w:t>
      </w:r>
      <w:r>
        <w:t xml:space="preserve"> </w:t>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sectPr w:rsidR="00D257E1">
      <w:type w:val="continuous"/>
      <w:pgSz w:w="11906" w:h="16838"/>
      <w:pgMar w:top="1077" w:right="1134" w:bottom="1361" w:left="1134" w:header="851" w:footer="1021" w:gutter="0"/>
      <w:cols w:num="2" w:space="720" w:equalWidth="0">
        <w:col w:w="4648" w:space="340"/>
        <w:col w:w="46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D72" w:rsidRDefault="008B5D72">
      <w:r>
        <w:separator/>
      </w:r>
    </w:p>
  </w:endnote>
  <w:endnote w:type="continuationSeparator" w:id="0">
    <w:p w:rsidR="008B5D72" w:rsidRDefault="008B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E1" w:rsidRDefault="00495129">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E1" w:rsidRDefault="00495129">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61A05">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rsidR="00D257E1" w:rsidRDefault="00D257E1">
    <w:pPr>
      <w:widowControl w:val="0"/>
      <w:pBdr>
        <w:top w:val="nil"/>
        <w:left w:val="nil"/>
        <w:bottom w:val="nil"/>
        <w:right w:val="nil"/>
        <w:between w:val="nil"/>
      </w:pBdr>
      <w:jc w:val="both"/>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E1" w:rsidRDefault="00495129">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D257E1" w:rsidRDefault="00495129">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D72" w:rsidRDefault="008B5D72">
      <w:r>
        <w:separator/>
      </w:r>
    </w:p>
  </w:footnote>
  <w:footnote w:type="continuationSeparator" w:id="0">
    <w:p w:rsidR="008B5D72" w:rsidRDefault="008B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E1" w:rsidRDefault="00D257E1">
    <w:pPr>
      <w:widowControl w:val="0"/>
      <w:pBdr>
        <w:top w:val="nil"/>
        <w:left w:val="nil"/>
        <w:bottom w:val="nil"/>
        <w:right w:val="nil"/>
        <w:between w:val="nil"/>
      </w:pBdr>
      <w:jc w:val="right"/>
      <w:rPr>
        <w:rFonts w:ascii="Times New Roman" w:eastAsia="Times New Roman" w:hAnsi="Times New Roman" w:cs="Times New Roman"/>
        <w:color w:val="000000"/>
      </w:rPr>
    </w:pPr>
  </w:p>
  <w:p w:rsidR="00D257E1" w:rsidRDefault="00D257E1">
    <w:pPr>
      <w:widowControl w:val="0"/>
      <w:pBdr>
        <w:top w:val="nil"/>
        <w:left w:val="nil"/>
        <w:bottom w:val="nil"/>
        <w:right w:val="nil"/>
        <w:between w:val="nil"/>
      </w:pBdr>
      <w:jc w:val="right"/>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E1"/>
    <w:rsid w:val="00495129"/>
    <w:rsid w:val="00561A05"/>
    <w:rsid w:val="00882F6B"/>
    <w:rsid w:val="008B5D72"/>
    <w:rsid w:val="00D2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40F8EA-EC51-4EEB-8EBE-90C96C57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梅津静子</dc:creator>
  <cp:lastModifiedBy>今川 里菜</cp:lastModifiedBy>
  <cp:revision>2</cp:revision>
  <dcterms:created xsi:type="dcterms:W3CDTF">2018-10-17T14:35:00Z</dcterms:created>
  <dcterms:modified xsi:type="dcterms:W3CDTF">2018-10-17T14:35:00Z</dcterms:modified>
</cp:coreProperties>
</file>